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0EB5B" w14:textId="77777777" w:rsidR="0039703B" w:rsidRDefault="0039703B" w:rsidP="00D26175">
      <w:pPr>
        <w:pStyle w:val="KeywordsSSPCR"/>
        <w:rPr>
          <w:bCs w:val="0"/>
          <w:sz w:val="24"/>
          <w:szCs w:val="28"/>
          <w:lang w:val="en-US"/>
        </w:rPr>
      </w:pPr>
      <w:r w:rsidRPr="0039703B">
        <w:rPr>
          <w:bCs w:val="0"/>
          <w:sz w:val="24"/>
          <w:szCs w:val="28"/>
          <w:lang w:val="en-US"/>
        </w:rPr>
        <w:t>Historical investigation as a methodological approach for the design of interventions for the enhancement of ancient tracks: the case of the transhumance routes (</w:t>
      </w:r>
      <w:proofErr w:type="spellStart"/>
      <w:r w:rsidRPr="0039703B">
        <w:rPr>
          <w:bCs w:val="0"/>
          <w:sz w:val="24"/>
          <w:szCs w:val="28"/>
          <w:lang w:val="en-US"/>
        </w:rPr>
        <w:t>tratturi</w:t>
      </w:r>
      <w:proofErr w:type="spellEnd"/>
      <w:r w:rsidRPr="0039703B">
        <w:rPr>
          <w:bCs w:val="0"/>
          <w:sz w:val="24"/>
          <w:szCs w:val="28"/>
          <w:lang w:val="en-US"/>
        </w:rPr>
        <w:t>) of Apulia Region in Southern Italy.</w:t>
      </w:r>
    </w:p>
    <w:p w14:paraId="61C595C9" w14:textId="77777777" w:rsidR="0039703B" w:rsidRDefault="0039703B" w:rsidP="00D26175">
      <w:pPr>
        <w:pStyle w:val="KeywordsSSPCR"/>
        <w:rPr>
          <w:bCs w:val="0"/>
          <w:sz w:val="24"/>
          <w:szCs w:val="28"/>
          <w:lang w:val="en-US"/>
        </w:rPr>
      </w:pPr>
    </w:p>
    <w:p w14:paraId="7AF9E71E" w14:textId="73FFE300" w:rsidR="0039703B" w:rsidRDefault="0039703B" w:rsidP="0039703B">
      <w:pPr>
        <w:pStyle w:val="KeywordsSSPCR"/>
        <w:rPr>
          <w:b w:val="0"/>
          <w:bCs w:val="0"/>
          <w:sz w:val="20"/>
          <w:szCs w:val="24"/>
          <w:lang w:val="en-US"/>
        </w:rPr>
      </w:pPr>
      <w:r w:rsidRPr="0039703B">
        <w:rPr>
          <w:b w:val="0"/>
          <w:bCs w:val="0"/>
          <w:sz w:val="20"/>
          <w:szCs w:val="24"/>
          <w:lang w:val="en-US"/>
        </w:rPr>
        <w:t>Antonella Marlene Milano</w:t>
      </w:r>
      <w:r w:rsidR="00B06819">
        <w:rPr>
          <w:rStyle w:val="FootnoteReference"/>
          <w:b w:val="0"/>
          <w:bCs w:val="0"/>
          <w:sz w:val="20"/>
          <w:szCs w:val="24"/>
          <w:lang w:val="en-US"/>
        </w:rPr>
        <w:footnoteReference w:id="2"/>
      </w:r>
    </w:p>
    <w:p w14:paraId="72F59E67" w14:textId="77777777" w:rsidR="0039703B" w:rsidRDefault="0039703B" w:rsidP="0039703B">
      <w:pPr>
        <w:pStyle w:val="KeywordsSSPCR"/>
      </w:pPr>
    </w:p>
    <w:p w14:paraId="6E216F1F" w14:textId="336C0ED6" w:rsidR="0039703B" w:rsidRPr="0039703B" w:rsidRDefault="0039703B" w:rsidP="0039703B">
      <w:pPr>
        <w:pStyle w:val="KeywordsSSPCR"/>
        <w:rPr>
          <w:b w:val="0"/>
          <w:bCs w:val="0"/>
          <w:sz w:val="20"/>
          <w:szCs w:val="24"/>
          <w:lang w:val="en-US"/>
        </w:rPr>
      </w:pPr>
      <w:r w:rsidRPr="0039703B">
        <w:t>Keywords</w:t>
      </w:r>
      <w:r w:rsidRPr="0039703B">
        <w:rPr>
          <w:lang w:val="en-US"/>
        </w:rPr>
        <w:t>:</w:t>
      </w:r>
      <w:r>
        <w:rPr>
          <w:lang w:val="en-US"/>
        </w:rPr>
        <w:t xml:space="preserve"> </w:t>
      </w:r>
      <w:r w:rsidRPr="0039703B">
        <w:t>Transhumance</w:t>
      </w:r>
      <w:r>
        <w:t xml:space="preserve"> </w:t>
      </w:r>
      <w:r w:rsidRPr="0039703B">
        <w:t>routes</w:t>
      </w:r>
      <w:r>
        <w:t xml:space="preserve">; </w:t>
      </w:r>
      <w:r w:rsidRPr="0039703B">
        <w:t>Historical investigation</w:t>
      </w:r>
      <w:r>
        <w:t xml:space="preserve">; </w:t>
      </w:r>
      <w:r w:rsidRPr="0039703B">
        <w:t>Long-distance walking routes</w:t>
      </w:r>
      <w:r>
        <w:t xml:space="preserve">; </w:t>
      </w:r>
      <w:r w:rsidRPr="0039703B">
        <w:t>Project guidelines</w:t>
      </w:r>
    </w:p>
    <w:p w14:paraId="74FC6E45" w14:textId="77777777" w:rsidR="0039703B" w:rsidRPr="0039703B" w:rsidRDefault="0039703B" w:rsidP="0039703B">
      <w:pPr>
        <w:contextualSpacing/>
        <w:rPr>
          <w:rFonts w:ascii="Arial" w:eastAsia="SimSun" w:hAnsi="Arial"/>
          <w:kern w:val="2"/>
          <w:sz w:val="20"/>
          <w:szCs w:val="21"/>
          <w:lang w:eastAsia="zh-CN"/>
        </w:rPr>
      </w:pPr>
      <w:r w:rsidRPr="0039703B">
        <w:rPr>
          <w:rFonts w:ascii="Arial" w:eastAsia="SimSun" w:hAnsi="Arial"/>
          <w:kern w:val="2"/>
          <w:sz w:val="20"/>
          <w:szCs w:val="21"/>
          <w:lang w:eastAsia="zh-CN"/>
        </w:rPr>
        <w:t xml:space="preserve">The </w:t>
      </w:r>
      <w:proofErr w:type="spellStart"/>
      <w:r w:rsidRPr="0039703B">
        <w:rPr>
          <w:rFonts w:ascii="Arial" w:eastAsia="SimSun" w:hAnsi="Arial"/>
          <w:kern w:val="2"/>
          <w:sz w:val="20"/>
          <w:szCs w:val="21"/>
          <w:lang w:eastAsia="zh-CN"/>
        </w:rPr>
        <w:t>tratturi</w:t>
      </w:r>
      <w:proofErr w:type="spellEnd"/>
      <w:r w:rsidRPr="0039703B">
        <w:rPr>
          <w:rFonts w:ascii="Arial" w:eastAsia="SimSun" w:hAnsi="Arial"/>
          <w:kern w:val="2"/>
          <w:sz w:val="20"/>
          <w:szCs w:val="21"/>
          <w:lang w:eastAsia="zh-CN"/>
        </w:rPr>
        <w:t xml:space="preserve"> are ancient tracks that since pre-Roman times were used for transhumance, a practice recently declared Intangible Cultural Heritage of Humanity and almost completely extinct. In Italy, the network of transhumance routes is extensive; in Center-Southern Italy it extends along about 3000 km, covering 5 regions. Some stretches of these tracks are now unrecognizable and permanently compromised due to the overlapping of modern infrastructure, urbanization, and the transformations induced by intensive agriculture. However, most of the transhumance routes have such characteristics that it is easy to imagine that they can be developed as long-distance walking routes.</w:t>
      </w:r>
    </w:p>
    <w:p w14:paraId="2F7D28ED" w14:textId="77777777" w:rsidR="0039703B" w:rsidRPr="0039703B" w:rsidRDefault="0039703B" w:rsidP="0039703B">
      <w:pPr>
        <w:contextualSpacing/>
        <w:rPr>
          <w:rFonts w:ascii="Arial" w:eastAsia="SimSun" w:hAnsi="Arial"/>
          <w:kern w:val="2"/>
          <w:sz w:val="20"/>
          <w:szCs w:val="21"/>
          <w:lang w:eastAsia="zh-CN"/>
        </w:rPr>
      </w:pPr>
      <w:r w:rsidRPr="0039703B">
        <w:rPr>
          <w:rFonts w:ascii="Arial" w:eastAsia="SimSun" w:hAnsi="Arial"/>
          <w:kern w:val="2"/>
          <w:sz w:val="20"/>
          <w:szCs w:val="21"/>
          <w:lang w:eastAsia="zh-CN"/>
        </w:rPr>
        <w:t xml:space="preserve">The Regional Government of Apulia, one of the </w:t>
      </w:r>
      <w:proofErr w:type="gramStart"/>
      <w:r w:rsidRPr="0039703B">
        <w:rPr>
          <w:rFonts w:ascii="Arial" w:eastAsia="SimSun" w:hAnsi="Arial"/>
          <w:kern w:val="2"/>
          <w:sz w:val="20"/>
          <w:szCs w:val="21"/>
          <w:lang w:eastAsia="zh-CN"/>
        </w:rPr>
        <w:t>region</w:t>
      </w:r>
      <w:proofErr w:type="gramEnd"/>
      <w:r w:rsidRPr="0039703B">
        <w:rPr>
          <w:rFonts w:ascii="Arial" w:eastAsia="SimSun" w:hAnsi="Arial"/>
          <w:kern w:val="2"/>
          <w:sz w:val="20"/>
          <w:szCs w:val="21"/>
          <w:lang w:eastAsia="zh-CN"/>
        </w:rPr>
        <w:t xml:space="preserve"> with the highest number of sheep tracks (91) across 90 municipalities, is drafting, with the support of a multidisciplinary research group, a policy based on a new instrument called Document for the Enhancement of the </w:t>
      </w:r>
      <w:proofErr w:type="spellStart"/>
      <w:r w:rsidRPr="0039703B">
        <w:rPr>
          <w:rFonts w:ascii="Arial" w:eastAsia="SimSun" w:hAnsi="Arial"/>
          <w:kern w:val="2"/>
          <w:sz w:val="20"/>
          <w:szCs w:val="21"/>
          <w:lang w:eastAsia="zh-CN"/>
        </w:rPr>
        <w:t>Tratturi</w:t>
      </w:r>
      <w:proofErr w:type="spellEnd"/>
      <w:r w:rsidRPr="0039703B">
        <w:rPr>
          <w:rFonts w:ascii="Arial" w:eastAsia="SimSun" w:hAnsi="Arial"/>
          <w:kern w:val="2"/>
          <w:sz w:val="20"/>
          <w:szCs w:val="21"/>
          <w:lang w:eastAsia="zh-CN"/>
        </w:rPr>
        <w:t xml:space="preserve"> (DET). Among the main objectives of the DET, there is the definition of a series of design guidelines to be applied along the network of Apulian transhumance routes to make them more recognizable and usable by walkers and users of slow mobility.</w:t>
      </w:r>
    </w:p>
    <w:p w14:paraId="2EB3B883" w14:textId="77777777" w:rsidR="0039703B" w:rsidRPr="0039703B" w:rsidRDefault="0039703B" w:rsidP="0039703B">
      <w:pPr>
        <w:contextualSpacing/>
        <w:rPr>
          <w:rFonts w:ascii="Arial" w:eastAsia="SimSun" w:hAnsi="Arial"/>
          <w:kern w:val="2"/>
          <w:sz w:val="20"/>
          <w:szCs w:val="21"/>
          <w:lang w:eastAsia="zh-CN"/>
        </w:rPr>
      </w:pPr>
      <w:r w:rsidRPr="0039703B">
        <w:rPr>
          <w:rFonts w:ascii="Arial" w:eastAsia="SimSun" w:hAnsi="Arial"/>
          <w:kern w:val="2"/>
          <w:sz w:val="20"/>
          <w:szCs w:val="21"/>
          <w:lang w:eastAsia="zh-CN"/>
        </w:rPr>
        <w:t xml:space="preserve">The methodological approach used for the DET is interdisciplinary and multi-scalar. The first step of the methodology consists in the analysis of the historical landscape, particularly focusing on territories managed under the jurisdiction of the Dogana </w:t>
      </w:r>
      <w:proofErr w:type="spellStart"/>
      <w:r w:rsidRPr="0039703B">
        <w:rPr>
          <w:rFonts w:ascii="Arial" w:eastAsia="SimSun" w:hAnsi="Arial"/>
          <w:kern w:val="2"/>
          <w:sz w:val="20"/>
          <w:szCs w:val="21"/>
          <w:lang w:eastAsia="zh-CN"/>
        </w:rPr>
        <w:t>della</w:t>
      </w:r>
      <w:proofErr w:type="spellEnd"/>
      <w:r w:rsidRPr="0039703B">
        <w:rPr>
          <w:rFonts w:ascii="Arial" w:eastAsia="SimSun" w:hAnsi="Arial"/>
          <w:kern w:val="2"/>
          <w:sz w:val="20"/>
          <w:szCs w:val="21"/>
          <w:lang w:eastAsia="zh-CN"/>
        </w:rPr>
        <w:t xml:space="preserve"> Mena </w:t>
      </w:r>
      <w:proofErr w:type="spellStart"/>
      <w:r w:rsidRPr="0039703B">
        <w:rPr>
          <w:rFonts w:ascii="Arial" w:eastAsia="SimSun" w:hAnsi="Arial"/>
          <w:kern w:val="2"/>
          <w:sz w:val="20"/>
          <w:szCs w:val="21"/>
          <w:lang w:eastAsia="zh-CN"/>
        </w:rPr>
        <w:t>delle</w:t>
      </w:r>
      <w:proofErr w:type="spellEnd"/>
      <w:r w:rsidRPr="0039703B">
        <w:rPr>
          <w:rFonts w:ascii="Arial" w:eastAsia="SimSun" w:hAnsi="Arial"/>
          <w:kern w:val="2"/>
          <w:sz w:val="20"/>
          <w:szCs w:val="21"/>
          <w:lang w:eastAsia="zh-CN"/>
        </w:rPr>
        <w:t xml:space="preserve"> </w:t>
      </w:r>
      <w:proofErr w:type="spellStart"/>
      <w:r w:rsidRPr="0039703B">
        <w:rPr>
          <w:rFonts w:ascii="Arial" w:eastAsia="SimSun" w:hAnsi="Arial"/>
          <w:kern w:val="2"/>
          <w:sz w:val="20"/>
          <w:szCs w:val="21"/>
          <w:lang w:eastAsia="zh-CN"/>
        </w:rPr>
        <w:t>Pecore</w:t>
      </w:r>
      <w:proofErr w:type="spellEnd"/>
      <w:r w:rsidRPr="0039703B">
        <w:rPr>
          <w:rFonts w:ascii="Arial" w:eastAsia="SimSun" w:hAnsi="Arial"/>
          <w:kern w:val="2"/>
          <w:sz w:val="20"/>
          <w:szCs w:val="21"/>
          <w:lang w:eastAsia="zh-CN"/>
        </w:rPr>
        <w:t xml:space="preserve"> di Puglia (Sheep Customs House of Apulia), the so-called fiscal </w:t>
      </w:r>
      <w:proofErr w:type="spellStart"/>
      <w:r w:rsidRPr="0039703B">
        <w:rPr>
          <w:rFonts w:ascii="Arial" w:eastAsia="SimSun" w:hAnsi="Arial"/>
          <w:kern w:val="2"/>
          <w:sz w:val="20"/>
          <w:szCs w:val="21"/>
          <w:lang w:eastAsia="zh-CN"/>
        </w:rPr>
        <w:t>Tavoliere</w:t>
      </w:r>
      <w:proofErr w:type="spellEnd"/>
      <w:r w:rsidRPr="0039703B">
        <w:rPr>
          <w:rFonts w:ascii="Arial" w:eastAsia="SimSun" w:hAnsi="Arial"/>
          <w:kern w:val="2"/>
          <w:sz w:val="20"/>
          <w:szCs w:val="21"/>
          <w:lang w:eastAsia="zh-CN"/>
        </w:rPr>
        <w:t xml:space="preserve">. This special administration, instituted in 1447 and suppressed in 1806, produced a considerable amount of documentary and cartographic material which is today very useful in the </w:t>
      </w:r>
      <w:r w:rsidRPr="0039703B">
        <w:rPr>
          <w:rFonts w:ascii="Arial" w:eastAsia="SimSun" w:hAnsi="Arial"/>
          <w:kern w:val="2"/>
          <w:sz w:val="20"/>
          <w:szCs w:val="21"/>
          <w:lang w:eastAsia="zh-CN"/>
        </w:rPr>
        <w:lastRenderedPageBreak/>
        <w:t xml:space="preserve">reconstruction of the historical landscape and land use. The overlapping of the analysis of historical documentation, current cartography and field visits has allowed us to identify the most relevant places for the history of the </w:t>
      </w:r>
      <w:proofErr w:type="spellStart"/>
      <w:r w:rsidRPr="0039703B">
        <w:rPr>
          <w:rFonts w:ascii="Arial" w:eastAsia="SimSun" w:hAnsi="Arial"/>
          <w:kern w:val="2"/>
          <w:sz w:val="20"/>
          <w:szCs w:val="21"/>
          <w:lang w:eastAsia="zh-CN"/>
        </w:rPr>
        <w:t>tratturi</w:t>
      </w:r>
      <w:proofErr w:type="spellEnd"/>
      <w:r w:rsidRPr="0039703B">
        <w:rPr>
          <w:rFonts w:ascii="Arial" w:eastAsia="SimSun" w:hAnsi="Arial"/>
          <w:kern w:val="2"/>
          <w:sz w:val="20"/>
          <w:szCs w:val="21"/>
          <w:lang w:eastAsia="zh-CN"/>
        </w:rPr>
        <w:t xml:space="preserve">. The application of this methodology enabled also to discover architectural and landscape assets not reported by the current heritage conservation tools. It also allowed us to identify fundamental pieces of the </w:t>
      </w:r>
      <w:proofErr w:type="spellStart"/>
      <w:r w:rsidRPr="0039703B">
        <w:rPr>
          <w:rFonts w:ascii="Arial" w:eastAsia="SimSun" w:hAnsi="Arial"/>
          <w:kern w:val="2"/>
          <w:sz w:val="20"/>
          <w:szCs w:val="21"/>
          <w:lang w:eastAsia="zh-CN"/>
        </w:rPr>
        <w:t>agro</w:t>
      </w:r>
      <w:proofErr w:type="spellEnd"/>
      <w:r w:rsidRPr="0039703B">
        <w:rPr>
          <w:rFonts w:ascii="Arial" w:eastAsia="SimSun" w:hAnsi="Arial"/>
          <w:kern w:val="2"/>
          <w:sz w:val="20"/>
          <w:szCs w:val="21"/>
          <w:lang w:eastAsia="zh-CN"/>
        </w:rPr>
        <w:t xml:space="preserve">-environmental mosaic such as the </w:t>
      </w:r>
      <w:proofErr w:type="spellStart"/>
      <w:r w:rsidRPr="0039703B">
        <w:rPr>
          <w:rFonts w:ascii="Arial" w:eastAsia="SimSun" w:hAnsi="Arial"/>
          <w:kern w:val="2"/>
          <w:sz w:val="20"/>
          <w:szCs w:val="21"/>
          <w:lang w:eastAsia="zh-CN"/>
        </w:rPr>
        <w:t>mezzane</w:t>
      </w:r>
      <w:proofErr w:type="spellEnd"/>
      <w:r w:rsidRPr="0039703B">
        <w:rPr>
          <w:rFonts w:ascii="Arial" w:eastAsia="SimSun" w:hAnsi="Arial"/>
          <w:kern w:val="2"/>
          <w:sz w:val="20"/>
          <w:szCs w:val="21"/>
          <w:lang w:eastAsia="zh-CN"/>
        </w:rPr>
        <w:t>, portions of arboreal pasture interspersed with crops and pasture lands, that today are nodes of the regional ecological network.</w:t>
      </w:r>
    </w:p>
    <w:p w14:paraId="66F4D91A" w14:textId="77777777" w:rsidR="0039703B" w:rsidRPr="0039703B" w:rsidRDefault="0039703B" w:rsidP="0039703B">
      <w:pPr>
        <w:contextualSpacing/>
        <w:rPr>
          <w:rFonts w:ascii="Arial" w:eastAsia="SimSun" w:hAnsi="Arial"/>
          <w:kern w:val="2"/>
          <w:sz w:val="20"/>
          <w:szCs w:val="21"/>
          <w:lang w:eastAsia="zh-CN"/>
        </w:rPr>
      </w:pPr>
      <w:r w:rsidRPr="0039703B">
        <w:rPr>
          <w:rFonts w:ascii="Arial" w:eastAsia="SimSun" w:hAnsi="Arial"/>
          <w:kern w:val="2"/>
          <w:sz w:val="20"/>
          <w:szCs w:val="21"/>
          <w:lang w:eastAsia="zh-CN"/>
        </w:rPr>
        <w:t xml:space="preserve">The results of the historical survey, together with other territorial analysis considering the ecological, cultural and economic features of the study areas, provide key inputs for the DET. These are fundamental to develop the DET guidelines for the enhancement of landscape and heritage assets linked to the identity of the Apulian transhumance routes network. The implementation of the project guidelines provided by the DET will allow, not only to transform the </w:t>
      </w:r>
      <w:proofErr w:type="spellStart"/>
      <w:r w:rsidRPr="0039703B">
        <w:rPr>
          <w:rFonts w:ascii="Arial" w:eastAsia="SimSun" w:hAnsi="Arial"/>
          <w:kern w:val="2"/>
          <w:sz w:val="20"/>
          <w:szCs w:val="21"/>
          <w:lang w:eastAsia="zh-CN"/>
        </w:rPr>
        <w:t>tratturi</w:t>
      </w:r>
      <w:proofErr w:type="spellEnd"/>
      <w:r w:rsidRPr="0039703B">
        <w:rPr>
          <w:rFonts w:ascii="Arial" w:eastAsia="SimSun" w:hAnsi="Arial"/>
          <w:kern w:val="2"/>
          <w:sz w:val="20"/>
          <w:szCs w:val="21"/>
          <w:lang w:eastAsia="zh-CN"/>
        </w:rPr>
        <w:t xml:space="preserve"> into safe long-distance walking routes, but also to build a unique narrative of these places. </w:t>
      </w:r>
    </w:p>
    <w:p w14:paraId="6F987391" w14:textId="77777777" w:rsidR="0039703B" w:rsidRPr="0039703B" w:rsidRDefault="0039703B" w:rsidP="0039703B">
      <w:pPr>
        <w:contextualSpacing/>
        <w:rPr>
          <w:rFonts w:ascii="Arial" w:eastAsia="SimSun" w:hAnsi="Arial"/>
          <w:kern w:val="2"/>
          <w:sz w:val="20"/>
          <w:szCs w:val="21"/>
          <w:lang w:eastAsia="zh-CN"/>
        </w:rPr>
      </w:pPr>
      <w:r w:rsidRPr="0039703B">
        <w:rPr>
          <w:rFonts w:ascii="Arial" w:eastAsia="SimSun" w:hAnsi="Arial"/>
          <w:kern w:val="2"/>
          <w:sz w:val="20"/>
          <w:szCs w:val="21"/>
          <w:lang w:eastAsia="zh-CN"/>
        </w:rPr>
        <w:t>The aim of this paper is to systematize the methodological approach used for the drafting of the DET of the transhumance routes of Apulia.</w:t>
      </w:r>
    </w:p>
    <w:p w14:paraId="3F2F61F6" w14:textId="77777777" w:rsidR="00C669FE" w:rsidRPr="00C669FE" w:rsidRDefault="00C669FE" w:rsidP="0039703B">
      <w:pPr>
        <w:contextualSpacing/>
        <w:rPr>
          <w:lang w:eastAsia="zh-CN"/>
        </w:rPr>
      </w:pPr>
    </w:p>
    <w:p w14:paraId="248EA619" w14:textId="4071757B" w:rsidR="001877E3" w:rsidRPr="00062258" w:rsidRDefault="001877E3" w:rsidP="001877E3">
      <w:pPr>
        <w:rPr>
          <w:lang w:val="en-GB"/>
        </w:rPr>
      </w:pPr>
    </w:p>
    <w:sectPr w:rsidR="001877E3" w:rsidRPr="00062258"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70281" w14:textId="77777777" w:rsidR="00E912A5" w:rsidRDefault="00E912A5" w:rsidP="008279F5">
      <w:pPr>
        <w:spacing w:after="0"/>
      </w:pPr>
      <w:r>
        <w:separator/>
      </w:r>
    </w:p>
  </w:endnote>
  <w:endnote w:type="continuationSeparator" w:id="0">
    <w:p w14:paraId="16135565" w14:textId="77777777" w:rsidR="00E912A5" w:rsidRDefault="00E912A5" w:rsidP="008279F5">
      <w:pPr>
        <w:spacing w:after="0"/>
      </w:pPr>
      <w:r>
        <w:continuationSeparator/>
      </w:r>
    </w:p>
  </w:endnote>
  <w:endnote w:type="continuationNotice" w:id="1">
    <w:p w14:paraId="1B6FC378" w14:textId="77777777" w:rsidR="00E912A5" w:rsidRDefault="00E912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Footer"/>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71515" w14:textId="77777777" w:rsidR="00E912A5" w:rsidRDefault="00E912A5" w:rsidP="008279F5">
      <w:pPr>
        <w:spacing w:after="0"/>
      </w:pPr>
      <w:r>
        <w:separator/>
      </w:r>
    </w:p>
  </w:footnote>
  <w:footnote w:type="continuationSeparator" w:id="0">
    <w:p w14:paraId="37F72D69" w14:textId="77777777" w:rsidR="00E912A5" w:rsidRDefault="00E912A5" w:rsidP="008279F5">
      <w:pPr>
        <w:spacing w:after="0"/>
      </w:pPr>
      <w:r>
        <w:continuationSeparator/>
      </w:r>
    </w:p>
  </w:footnote>
  <w:footnote w:type="continuationNotice" w:id="1">
    <w:p w14:paraId="348AB95F" w14:textId="77777777" w:rsidR="00E912A5" w:rsidRDefault="00E912A5">
      <w:pPr>
        <w:spacing w:after="0"/>
      </w:pPr>
    </w:p>
  </w:footnote>
  <w:footnote w:id="2">
    <w:p w14:paraId="36DE617C" w14:textId="447EABCF" w:rsidR="004F790C" w:rsidRPr="004F790C" w:rsidRDefault="00B06819" w:rsidP="004F790C">
      <w:pPr>
        <w:spacing w:after="0"/>
        <w:rPr>
          <w:rFonts w:eastAsia="Times New Roman" w:cs="Calibri"/>
          <w:sz w:val="22"/>
          <w:lang w:val="it-IT" w:eastAsia="de-DE"/>
        </w:rPr>
      </w:pPr>
      <w:r>
        <w:rPr>
          <w:rStyle w:val="FootnoteReference"/>
        </w:rPr>
        <w:footnoteRef/>
      </w:r>
      <w:r w:rsidRPr="004F790C">
        <w:rPr>
          <w:lang w:val="it-IT"/>
        </w:rPr>
        <w:t xml:space="preserve"> </w:t>
      </w:r>
      <w:r w:rsidR="004F790C" w:rsidRPr="004F790C">
        <w:rPr>
          <w:rFonts w:ascii="Arial" w:eastAsia="Times New Roman" w:hAnsi="Arial" w:cs="Arial"/>
          <w:szCs w:val="16"/>
          <w:lang w:val="it-IT" w:eastAsia="de-DE"/>
        </w:rPr>
        <w:t>Politecnico di Bari</w:t>
      </w:r>
      <w:r w:rsidR="004F790C" w:rsidRPr="004F790C">
        <w:rPr>
          <w:rFonts w:ascii="Arial" w:eastAsia="Times New Roman" w:hAnsi="Arial" w:cs="Arial"/>
          <w:szCs w:val="16"/>
          <w:lang w:val="it-IT" w:eastAsia="de-DE"/>
        </w:rPr>
        <w:t xml:space="preserve">, </w:t>
      </w:r>
      <w:r w:rsidR="004F790C" w:rsidRPr="004F790C">
        <w:rPr>
          <w:rFonts w:ascii="Arial" w:eastAsia="Times New Roman" w:hAnsi="Arial" w:cs="Arial"/>
          <w:szCs w:val="16"/>
          <w:lang w:val="it-IT" w:eastAsia="de-DE"/>
        </w:rPr>
        <w:t>antonellamarlene.milano@poliba.it</w:t>
      </w:r>
    </w:p>
    <w:p w14:paraId="1F9B85BF" w14:textId="4BE5081F" w:rsidR="004F790C" w:rsidRPr="004F790C" w:rsidRDefault="004F790C" w:rsidP="004F790C">
      <w:pPr>
        <w:spacing w:after="0"/>
        <w:rPr>
          <w:rFonts w:eastAsia="Times New Roman" w:cs="Calibri"/>
          <w:sz w:val="22"/>
          <w:lang w:val="it-IT" w:eastAsia="de-DE"/>
        </w:rPr>
      </w:pPr>
    </w:p>
    <w:p w14:paraId="3AB45FC0" w14:textId="1936EB72" w:rsidR="00B06819" w:rsidRDefault="00B06819">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Header"/>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Header"/>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5825789">
    <w:abstractNumId w:val="2"/>
  </w:num>
  <w:num w:numId="2" w16cid:durableId="1819571942">
    <w:abstractNumId w:val="19"/>
  </w:num>
  <w:num w:numId="3" w16cid:durableId="1834105981">
    <w:abstractNumId w:val="13"/>
  </w:num>
  <w:num w:numId="4" w16cid:durableId="2060128282">
    <w:abstractNumId w:val="9"/>
  </w:num>
  <w:num w:numId="5" w16cid:durableId="1417240299">
    <w:abstractNumId w:val="4"/>
  </w:num>
  <w:num w:numId="6" w16cid:durableId="1507136183">
    <w:abstractNumId w:val="5"/>
  </w:num>
  <w:num w:numId="7" w16cid:durableId="968782981">
    <w:abstractNumId w:val="7"/>
  </w:num>
  <w:num w:numId="8" w16cid:durableId="673144315">
    <w:abstractNumId w:val="31"/>
  </w:num>
  <w:num w:numId="9" w16cid:durableId="811020683">
    <w:abstractNumId w:val="27"/>
  </w:num>
  <w:num w:numId="10" w16cid:durableId="987510486">
    <w:abstractNumId w:val="21"/>
  </w:num>
  <w:num w:numId="11" w16cid:durableId="1424303941">
    <w:abstractNumId w:val="10"/>
  </w:num>
  <w:num w:numId="12" w16cid:durableId="1391927344">
    <w:abstractNumId w:val="39"/>
  </w:num>
  <w:num w:numId="13" w16cid:durableId="1224677196">
    <w:abstractNumId w:val="32"/>
  </w:num>
  <w:num w:numId="14" w16cid:durableId="529224408">
    <w:abstractNumId w:val="23"/>
  </w:num>
  <w:num w:numId="15" w16cid:durableId="38601183">
    <w:abstractNumId w:val="40"/>
  </w:num>
  <w:num w:numId="16" w16cid:durableId="413168860">
    <w:abstractNumId w:val="33"/>
  </w:num>
  <w:num w:numId="17" w16cid:durableId="761148096">
    <w:abstractNumId w:val="29"/>
  </w:num>
  <w:num w:numId="18" w16cid:durableId="348143444">
    <w:abstractNumId w:val="17"/>
  </w:num>
  <w:num w:numId="19" w16cid:durableId="1931887364">
    <w:abstractNumId w:val="25"/>
  </w:num>
  <w:num w:numId="20" w16cid:durableId="527180393">
    <w:abstractNumId w:val="16"/>
  </w:num>
  <w:num w:numId="21" w16cid:durableId="1990742660">
    <w:abstractNumId w:val="3"/>
  </w:num>
  <w:num w:numId="22" w16cid:durableId="1539464618">
    <w:abstractNumId w:val="35"/>
  </w:num>
  <w:num w:numId="23" w16cid:durableId="1732845597">
    <w:abstractNumId w:val="6"/>
  </w:num>
  <w:num w:numId="24" w16cid:durableId="519970913">
    <w:abstractNumId w:val="36"/>
  </w:num>
  <w:num w:numId="25" w16cid:durableId="1695841399">
    <w:abstractNumId w:val="38"/>
  </w:num>
  <w:num w:numId="26" w16cid:durableId="1248731470">
    <w:abstractNumId w:val="11"/>
  </w:num>
  <w:num w:numId="27" w16cid:durableId="1305962908">
    <w:abstractNumId w:val="8"/>
  </w:num>
  <w:num w:numId="28" w16cid:durableId="51005269">
    <w:abstractNumId w:val="28"/>
  </w:num>
  <w:num w:numId="29" w16cid:durableId="1929655622">
    <w:abstractNumId w:val="26"/>
  </w:num>
  <w:num w:numId="30" w16cid:durableId="726950001">
    <w:abstractNumId w:val="37"/>
  </w:num>
  <w:num w:numId="31" w16cid:durableId="1228414069">
    <w:abstractNumId w:val="15"/>
  </w:num>
  <w:num w:numId="32" w16cid:durableId="22949338">
    <w:abstractNumId w:val="1"/>
  </w:num>
  <w:num w:numId="33" w16cid:durableId="1748460024">
    <w:abstractNumId w:val="34"/>
  </w:num>
  <w:num w:numId="34" w16cid:durableId="550116129">
    <w:abstractNumId w:val="20"/>
  </w:num>
  <w:num w:numId="35" w16cid:durableId="1194222057">
    <w:abstractNumId w:val="30"/>
  </w:num>
  <w:num w:numId="36" w16cid:durableId="933124483">
    <w:abstractNumId w:val="14"/>
  </w:num>
  <w:num w:numId="37" w16cid:durableId="2105416722">
    <w:abstractNumId w:val="0"/>
  </w:num>
  <w:num w:numId="38" w16cid:durableId="1649747338">
    <w:abstractNumId w:val="24"/>
  </w:num>
  <w:num w:numId="39" w16cid:durableId="1409186493">
    <w:abstractNumId w:val="22"/>
  </w:num>
  <w:num w:numId="40" w16cid:durableId="2009286571">
    <w:abstractNumId w:val="18"/>
  </w:num>
  <w:num w:numId="41" w16cid:durableId="2026201293">
    <w:abstractNumId w:val="24"/>
  </w:num>
  <w:num w:numId="42" w16cid:durableId="1440025863">
    <w:abstractNumId w:val="24"/>
  </w:num>
  <w:num w:numId="43" w16cid:durableId="1761291814">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it-IT" w:vendorID="64" w:dllVersion="0" w:nlCheck="1" w:checkStyle="0"/>
  <w:proofState w:spelling="clean" w:grammar="clean"/>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9703B"/>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3916"/>
    <w:rsid w:val="004E3C6D"/>
    <w:rsid w:val="004E4761"/>
    <w:rsid w:val="004E6646"/>
    <w:rsid w:val="004F790C"/>
    <w:rsid w:val="0050163F"/>
    <w:rsid w:val="0050404F"/>
    <w:rsid w:val="0050479A"/>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67BA"/>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391B"/>
    <w:rsid w:val="006356BB"/>
    <w:rsid w:val="00641414"/>
    <w:rsid w:val="0064243B"/>
    <w:rsid w:val="006471C5"/>
    <w:rsid w:val="006477EB"/>
    <w:rsid w:val="00650407"/>
    <w:rsid w:val="006504CE"/>
    <w:rsid w:val="00653F7D"/>
    <w:rsid w:val="006569F9"/>
    <w:rsid w:val="00660803"/>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91198"/>
    <w:rsid w:val="00994322"/>
    <w:rsid w:val="00995D70"/>
    <w:rsid w:val="0099745B"/>
    <w:rsid w:val="009A2F32"/>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43409"/>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6819"/>
    <w:rsid w:val="00B0793D"/>
    <w:rsid w:val="00B109C5"/>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E34EB"/>
    <w:rsid w:val="00DE5AC8"/>
    <w:rsid w:val="00DF0305"/>
    <w:rsid w:val="00DF77A8"/>
    <w:rsid w:val="00E00F84"/>
    <w:rsid w:val="00E02E47"/>
    <w:rsid w:val="00E04050"/>
    <w:rsid w:val="00E042F6"/>
    <w:rsid w:val="00E101B1"/>
    <w:rsid w:val="00E1304E"/>
    <w:rsid w:val="00E167DB"/>
    <w:rsid w:val="00E20AA8"/>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902DD"/>
    <w:rsid w:val="00E912A5"/>
    <w:rsid w:val="00E928BA"/>
    <w:rsid w:val="00E94DE5"/>
    <w:rsid w:val="00EA43E8"/>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6AAC"/>
    <w:pPr>
      <w:spacing w:after="120"/>
      <w:jc w:val="both"/>
    </w:pPr>
    <w:rPr>
      <w:sz w:val="16"/>
      <w:szCs w:val="22"/>
    </w:rPr>
  </w:style>
  <w:style w:type="paragraph" w:styleId="Heading1">
    <w:name w:val="heading 1"/>
    <w:basedOn w:val="Normal"/>
    <w:next w:val="Heading2"/>
    <w:link w:val="Heading1Char"/>
    <w:uiPriority w:val="9"/>
    <w:qFormat/>
    <w:rsid w:val="00DC51E2"/>
    <w:pPr>
      <w:keepNext/>
      <w:spacing w:before="240"/>
      <w:outlineLvl w:val="0"/>
    </w:pPr>
    <w:rPr>
      <w:rFonts w:eastAsia="Times New Roman"/>
      <w:b/>
      <w:bCs/>
      <w:caps/>
      <w:kern w:val="32"/>
      <w:sz w:val="22"/>
      <w:szCs w:val="32"/>
    </w:rPr>
  </w:style>
  <w:style w:type="paragraph" w:styleId="Heading2">
    <w:name w:val="heading 2"/>
    <w:basedOn w:val="Normal"/>
    <w:link w:val="Heading2Char"/>
    <w:uiPriority w:val="9"/>
    <w:qFormat/>
    <w:rsid w:val="00CF5EC9"/>
    <w:pPr>
      <w:widowControl w:val="0"/>
      <w:outlineLvl w:val="1"/>
    </w:pPr>
    <w:rPr>
      <w:bCs/>
      <w:szCs w:val="28"/>
      <w:u w:val="single"/>
    </w:rPr>
  </w:style>
  <w:style w:type="paragraph" w:styleId="Heading3">
    <w:name w:val="heading 3"/>
    <w:basedOn w:val="Normal"/>
    <w:next w:val="Normal"/>
    <w:link w:val="Heading3Char"/>
    <w:uiPriority w:val="9"/>
    <w:unhideWhenUsed/>
    <w:qFormat/>
    <w:rsid w:val="009C1206"/>
    <w:pPr>
      <w:keepNext/>
      <w:spacing w:before="240" w:after="240"/>
      <w:outlineLvl w:val="2"/>
    </w:pPr>
    <w:rPr>
      <w:rFonts w:eastAsia="Times New Roman"/>
      <w:bCs/>
      <w:szCs w:val="26"/>
    </w:rPr>
  </w:style>
  <w:style w:type="paragraph" w:styleId="Heading4">
    <w:name w:val="heading 4"/>
    <w:basedOn w:val="Normal"/>
    <w:next w:val="Normal"/>
    <w:link w:val="Heading4Char"/>
    <w:uiPriority w:val="9"/>
    <w:unhideWhenUsed/>
    <w:qFormat/>
    <w:rsid w:val="009C1206"/>
    <w:pPr>
      <w:keepNext/>
      <w:spacing w:before="240" w:after="60"/>
      <w:outlineLvl w:val="3"/>
    </w:pPr>
    <w:rPr>
      <w:rFonts w:eastAsia="Times New Roman"/>
      <w:b/>
      <w:bCs/>
      <w:cap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241EE2"/>
    <w:rPr>
      <w:color w:val="0000FF"/>
      <w:u w:val="single"/>
    </w:rPr>
  </w:style>
  <w:style w:type="paragraph" w:styleId="BalloonText">
    <w:name w:val="Balloon Text"/>
    <w:basedOn w:val="Normal"/>
    <w:link w:val="BalloonTextChar"/>
    <w:uiPriority w:val="99"/>
    <w:semiHidden/>
    <w:unhideWhenUsed/>
    <w:rsid w:val="00241EE2"/>
    <w:pPr>
      <w:spacing w:after="0"/>
    </w:pPr>
    <w:rPr>
      <w:rFonts w:ascii="Tahoma" w:hAnsi="Tahoma" w:cs="Tahoma"/>
      <w:szCs w:val="16"/>
    </w:rPr>
  </w:style>
  <w:style w:type="character" w:customStyle="1" w:styleId="BalloonTextChar">
    <w:name w:val="Balloon Text Char"/>
    <w:link w:val="BalloonText"/>
    <w:uiPriority w:val="99"/>
    <w:semiHidden/>
    <w:rsid w:val="00241EE2"/>
    <w:rPr>
      <w:rFonts w:ascii="Tahoma" w:hAnsi="Tahoma" w:cs="Tahoma"/>
      <w:sz w:val="16"/>
      <w:szCs w:val="16"/>
    </w:rPr>
  </w:style>
  <w:style w:type="paragraph" w:customStyle="1" w:styleId="MediumGrid1-Accent21">
    <w:name w:val="Medium Grid 1 - Accent 21"/>
    <w:basedOn w:val="Normal"/>
    <w:uiPriority w:val="34"/>
    <w:qFormat/>
    <w:rsid w:val="00ED1A50"/>
    <w:pPr>
      <w:spacing w:after="160" w:line="259" w:lineRule="auto"/>
      <w:ind w:left="720"/>
      <w:contextualSpacing/>
    </w:pPr>
  </w:style>
  <w:style w:type="paragraph" w:styleId="NormalWeb">
    <w:name w:val="Normal (Web)"/>
    <w:basedOn w:val="Normal"/>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FollowedHyperlink">
    <w:name w:val="FollowedHyperlink"/>
    <w:uiPriority w:val="99"/>
    <w:semiHidden/>
    <w:unhideWhenUsed/>
    <w:rsid w:val="00174F8E"/>
    <w:rPr>
      <w:color w:val="954F72"/>
      <w:u w:val="single"/>
    </w:rPr>
  </w:style>
  <w:style w:type="character" w:customStyle="1" w:styleId="Heading2Char">
    <w:name w:val="Heading 2 Char"/>
    <w:link w:val="Heading2"/>
    <w:uiPriority w:val="9"/>
    <w:rsid w:val="00CF5EC9"/>
    <w:rPr>
      <w:bCs/>
      <w:sz w:val="16"/>
      <w:szCs w:val="28"/>
      <w:u w:val="single"/>
    </w:rPr>
  </w:style>
  <w:style w:type="paragraph" w:customStyle="1" w:styleId="TableParagraph">
    <w:name w:val="Table Paragraph"/>
    <w:basedOn w:val="Normal"/>
    <w:uiPriority w:val="1"/>
    <w:qFormat/>
    <w:rsid w:val="00952617"/>
    <w:pPr>
      <w:widowControl w:val="0"/>
      <w:spacing w:after="0"/>
    </w:pPr>
  </w:style>
  <w:style w:type="character" w:styleId="CommentReference">
    <w:name w:val="annotation reference"/>
    <w:uiPriority w:val="99"/>
    <w:semiHidden/>
    <w:unhideWhenUsed/>
    <w:rsid w:val="0050404F"/>
    <w:rPr>
      <w:sz w:val="16"/>
      <w:szCs w:val="16"/>
    </w:rPr>
  </w:style>
  <w:style w:type="paragraph" w:styleId="CommentText">
    <w:name w:val="annotation text"/>
    <w:basedOn w:val="Normal"/>
    <w:link w:val="CommentTextChar"/>
    <w:uiPriority w:val="99"/>
    <w:semiHidden/>
    <w:unhideWhenUsed/>
    <w:rsid w:val="0050404F"/>
    <w:rPr>
      <w:sz w:val="20"/>
      <w:szCs w:val="20"/>
    </w:rPr>
  </w:style>
  <w:style w:type="character" w:customStyle="1" w:styleId="CommentTextChar">
    <w:name w:val="Comment Text Char"/>
    <w:basedOn w:val="DefaultParagraphFont"/>
    <w:link w:val="CommentText"/>
    <w:uiPriority w:val="99"/>
    <w:semiHidden/>
    <w:rsid w:val="0050404F"/>
  </w:style>
  <w:style w:type="paragraph" w:styleId="CommentSubject">
    <w:name w:val="annotation subject"/>
    <w:basedOn w:val="CommentText"/>
    <w:next w:val="CommentText"/>
    <w:link w:val="CommentSubjectChar"/>
    <w:uiPriority w:val="99"/>
    <w:semiHidden/>
    <w:unhideWhenUsed/>
    <w:rsid w:val="0050404F"/>
    <w:rPr>
      <w:b/>
      <w:bCs/>
    </w:rPr>
  </w:style>
  <w:style w:type="character" w:customStyle="1" w:styleId="CommentSubjectChar">
    <w:name w:val="Comment Subject Char"/>
    <w:link w:val="CommentSubject"/>
    <w:uiPriority w:val="99"/>
    <w:semiHidden/>
    <w:rsid w:val="0050404F"/>
    <w:rPr>
      <w:b/>
      <w:bCs/>
    </w:rPr>
  </w:style>
  <w:style w:type="paragraph" w:styleId="Header">
    <w:name w:val="header"/>
    <w:basedOn w:val="Normal"/>
    <w:link w:val="HeaderChar"/>
    <w:uiPriority w:val="99"/>
    <w:unhideWhenUsed/>
    <w:rsid w:val="00BA42A6"/>
    <w:pPr>
      <w:tabs>
        <w:tab w:val="center" w:pos="4680"/>
        <w:tab w:val="right" w:pos="9360"/>
      </w:tabs>
    </w:pPr>
  </w:style>
  <w:style w:type="character" w:customStyle="1" w:styleId="HeaderChar">
    <w:name w:val="Header Char"/>
    <w:link w:val="Header"/>
    <w:uiPriority w:val="99"/>
    <w:rsid w:val="00BA42A6"/>
    <w:rPr>
      <w:sz w:val="22"/>
      <w:szCs w:val="22"/>
    </w:rPr>
  </w:style>
  <w:style w:type="paragraph" w:styleId="Footer">
    <w:name w:val="footer"/>
    <w:basedOn w:val="Normal"/>
    <w:link w:val="FooterChar"/>
    <w:uiPriority w:val="99"/>
    <w:unhideWhenUsed/>
    <w:rsid w:val="00BA42A6"/>
    <w:pPr>
      <w:tabs>
        <w:tab w:val="center" w:pos="4680"/>
        <w:tab w:val="right" w:pos="9360"/>
      </w:tabs>
    </w:pPr>
  </w:style>
  <w:style w:type="character" w:customStyle="1" w:styleId="FooterChar">
    <w:name w:val="Footer Char"/>
    <w:link w:val="Footer"/>
    <w:uiPriority w:val="99"/>
    <w:rsid w:val="00BA42A6"/>
    <w:rPr>
      <w:sz w:val="22"/>
      <w:szCs w:val="22"/>
    </w:rPr>
  </w:style>
  <w:style w:type="character" w:customStyle="1" w:styleId="Heading1Char">
    <w:name w:val="Heading 1 Char"/>
    <w:link w:val="Heading1"/>
    <w:uiPriority w:val="9"/>
    <w:rsid w:val="00DC51E2"/>
    <w:rPr>
      <w:rFonts w:ascii="Calibri" w:eastAsia="Times New Roman" w:hAnsi="Calibri"/>
      <w:b/>
      <w:bCs/>
      <w:caps/>
      <w:kern w:val="32"/>
      <w:sz w:val="22"/>
      <w:szCs w:val="32"/>
    </w:rPr>
  </w:style>
  <w:style w:type="character" w:customStyle="1" w:styleId="Heading4Char">
    <w:name w:val="Heading 4 Char"/>
    <w:link w:val="Heading4"/>
    <w:uiPriority w:val="9"/>
    <w:rsid w:val="009C1206"/>
    <w:rPr>
      <w:rFonts w:eastAsia="Times New Roman"/>
      <w:b/>
      <w:bCs/>
      <w:caps/>
      <w:szCs w:val="28"/>
    </w:rPr>
  </w:style>
  <w:style w:type="paragraph" w:styleId="ListParagraph">
    <w:name w:val="List Paragraph"/>
    <w:basedOn w:val="Normal"/>
    <w:uiPriority w:val="34"/>
    <w:qFormat/>
    <w:rsid w:val="00486B21"/>
    <w:pPr>
      <w:spacing w:after="0"/>
      <w:ind w:left="720"/>
      <w:contextualSpacing/>
    </w:pPr>
    <w:rPr>
      <w:rFonts w:ascii="Cambria" w:eastAsia="MS Mincho" w:hAnsi="Cambria"/>
      <w:sz w:val="24"/>
      <w:szCs w:val="24"/>
    </w:rPr>
  </w:style>
  <w:style w:type="character" w:customStyle="1" w:styleId="Heading3Char">
    <w:name w:val="Heading 3 Char"/>
    <w:link w:val="Heading3"/>
    <w:uiPriority w:val="9"/>
    <w:rsid w:val="009C1206"/>
    <w:rPr>
      <w:rFonts w:ascii="Calibri" w:eastAsia="Times New Roman" w:hAnsi="Calibri" w:cs="Times New Roman"/>
      <w:bCs/>
      <w:sz w:val="16"/>
      <w:szCs w:val="26"/>
    </w:rPr>
  </w:style>
  <w:style w:type="paragraph" w:styleId="FootnoteText">
    <w:name w:val="footnote text"/>
    <w:basedOn w:val="Normal"/>
    <w:link w:val="FootnoteTextChar"/>
    <w:semiHidden/>
    <w:unhideWhenUsed/>
    <w:rsid w:val="009C1206"/>
    <w:pPr>
      <w:spacing w:before="120" w:after="0"/>
    </w:pPr>
    <w:rPr>
      <w:rFonts w:ascii="Arial" w:hAnsi="Arial" w:cs="Arial"/>
      <w:sz w:val="20"/>
      <w:szCs w:val="20"/>
      <w:lang w:val="it-IT"/>
    </w:rPr>
  </w:style>
  <w:style w:type="character" w:customStyle="1" w:styleId="FootnoteTextChar">
    <w:name w:val="Footnote Text Char"/>
    <w:link w:val="FootnoteText"/>
    <w:semiHidden/>
    <w:rsid w:val="009C1206"/>
    <w:rPr>
      <w:rFonts w:ascii="Arial" w:hAnsi="Arial" w:cs="Arial"/>
      <w:lang w:val="it-IT"/>
    </w:rPr>
  </w:style>
  <w:style w:type="character" w:styleId="FootnoteReference">
    <w:name w:val="footnote reference"/>
    <w:semiHidden/>
    <w:unhideWhenUsed/>
    <w:rsid w:val="009C1206"/>
    <w:rPr>
      <w:vertAlign w:val="superscript"/>
    </w:rPr>
  </w:style>
  <w:style w:type="paragraph" w:styleId="TOC1">
    <w:name w:val="toc 1"/>
    <w:basedOn w:val="Normal"/>
    <w:next w:val="Normal"/>
    <w:autoRedefine/>
    <w:uiPriority w:val="39"/>
    <w:unhideWhenUsed/>
    <w:rsid w:val="00AE13E2"/>
    <w:pPr>
      <w:tabs>
        <w:tab w:val="right" w:leader="dot" w:pos="6348"/>
      </w:tabs>
      <w:jc w:val="center"/>
    </w:pPr>
    <w:rPr>
      <w:lang w:val="en-GB"/>
    </w:rPr>
  </w:style>
  <w:style w:type="paragraph" w:styleId="TOC2">
    <w:name w:val="toc 2"/>
    <w:basedOn w:val="Normal"/>
    <w:next w:val="Normal"/>
    <w:autoRedefine/>
    <w:uiPriority w:val="39"/>
    <w:unhideWhenUsed/>
    <w:rsid w:val="00911DE0"/>
    <w:pPr>
      <w:ind w:left="160"/>
    </w:pPr>
  </w:style>
  <w:style w:type="paragraph" w:styleId="TOC3">
    <w:name w:val="toc 3"/>
    <w:basedOn w:val="Normal"/>
    <w:next w:val="Normal"/>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oSpacing">
    <w:name w:val="No Spacing"/>
    <w:uiPriority w:val="1"/>
    <w:qFormat/>
    <w:rsid w:val="009D383A"/>
    <w:pPr>
      <w:jc w:val="both"/>
    </w:pPr>
    <w:rPr>
      <w:sz w:val="16"/>
      <w:szCs w:val="22"/>
    </w:rPr>
  </w:style>
  <w:style w:type="paragraph" w:styleId="Revision">
    <w:name w:val="Revision"/>
    <w:hidden/>
    <w:uiPriority w:val="99"/>
    <w:semiHidden/>
    <w:rsid w:val="0022671D"/>
    <w:rPr>
      <w:sz w:val="16"/>
      <w:szCs w:val="22"/>
    </w:rPr>
  </w:style>
  <w:style w:type="paragraph" w:styleId="EndnoteText">
    <w:name w:val="endnote text"/>
    <w:basedOn w:val="Normal"/>
    <w:link w:val="EndnoteTextChar"/>
    <w:uiPriority w:val="99"/>
    <w:semiHidden/>
    <w:unhideWhenUsed/>
    <w:rsid w:val="00807670"/>
    <w:rPr>
      <w:sz w:val="20"/>
      <w:szCs w:val="20"/>
    </w:rPr>
  </w:style>
  <w:style w:type="character" w:customStyle="1" w:styleId="EndnoteTextChar">
    <w:name w:val="Endnote Text Char"/>
    <w:basedOn w:val="DefaultParagraphFont"/>
    <w:link w:val="EndnoteText"/>
    <w:uiPriority w:val="99"/>
    <w:semiHidden/>
    <w:rsid w:val="00807670"/>
  </w:style>
  <w:style w:type="character" w:styleId="EndnoteReference">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
    <w:link w:val="TabledetailedprogrammeChar"/>
    <w:qFormat/>
    <w:rsid w:val="00024B35"/>
    <w:pPr>
      <w:spacing w:after="0"/>
      <w:jc w:val="center"/>
    </w:pPr>
    <w:rPr>
      <w:rFonts w:cs="Arial"/>
      <w:caps/>
      <w:szCs w:val="12"/>
    </w:rPr>
  </w:style>
  <w:style w:type="paragraph" w:styleId="BodyText">
    <w:name w:val="Body Text"/>
    <w:basedOn w:val="Normal"/>
    <w:link w:val="BodyTextChar"/>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BodyTextChar">
    <w:name w:val="Body Text Char"/>
    <w:link w:val="BodyText"/>
    <w:uiPriority w:val="1"/>
    <w:rsid w:val="00C008E0"/>
    <w:rPr>
      <w:rFonts w:ascii="Arial" w:eastAsia="Arial" w:hAnsi="Arial"/>
      <w:sz w:val="21"/>
      <w:szCs w:val="21"/>
    </w:rPr>
  </w:style>
  <w:style w:type="paragraph" w:styleId="TOCHeading">
    <w:name w:val="TOC Heading"/>
    <w:basedOn w:val="Heading1"/>
    <w:next w:val="Normal"/>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TOC4">
    <w:name w:val="toc 4"/>
    <w:basedOn w:val="Normal"/>
    <w:next w:val="Normal"/>
    <w:autoRedefine/>
    <w:uiPriority w:val="39"/>
    <w:unhideWhenUsed/>
    <w:rsid w:val="00271DC3"/>
    <w:pPr>
      <w:spacing w:after="100" w:line="259" w:lineRule="auto"/>
      <w:ind w:left="660"/>
      <w:jc w:val="left"/>
    </w:pPr>
    <w:rPr>
      <w:rFonts w:eastAsia="Times New Roman"/>
      <w:sz w:val="22"/>
    </w:rPr>
  </w:style>
  <w:style w:type="paragraph" w:styleId="TOC5">
    <w:name w:val="toc 5"/>
    <w:basedOn w:val="Normal"/>
    <w:next w:val="Normal"/>
    <w:autoRedefine/>
    <w:uiPriority w:val="39"/>
    <w:unhideWhenUsed/>
    <w:rsid w:val="00271DC3"/>
    <w:pPr>
      <w:spacing w:after="100" w:line="259" w:lineRule="auto"/>
      <w:ind w:left="880"/>
      <w:jc w:val="left"/>
    </w:pPr>
    <w:rPr>
      <w:rFonts w:eastAsia="Times New Roman"/>
      <w:sz w:val="22"/>
    </w:rPr>
  </w:style>
  <w:style w:type="paragraph" w:styleId="TOC6">
    <w:name w:val="toc 6"/>
    <w:basedOn w:val="Normal"/>
    <w:next w:val="Normal"/>
    <w:autoRedefine/>
    <w:uiPriority w:val="39"/>
    <w:unhideWhenUsed/>
    <w:rsid w:val="00271DC3"/>
    <w:pPr>
      <w:spacing w:after="100" w:line="259" w:lineRule="auto"/>
      <w:ind w:left="1100"/>
      <w:jc w:val="left"/>
    </w:pPr>
    <w:rPr>
      <w:rFonts w:eastAsia="Times New Roman"/>
      <w:sz w:val="22"/>
    </w:rPr>
  </w:style>
  <w:style w:type="paragraph" w:styleId="TOC7">
    <w:name w:val="toc 7"/>
    <w:basedOn w:val="Normal"/>
    <w:next w:val="Normal"/>
    <w:autoRedefine/>
    <w:uiPriority w:val="39"/>
    <w:unhideWhenUsed/>
    <w:rsid w:val="00271DC3"/>
    <w:pPr>
      <w:spacing w:after="100" w:line="259" w:lineRule="auto"/>
      <w:ind w:left="1320"/>
      <w:jc w:val="left"/>
    </w:pPr>
    <w:rPr>
      <w:rFonts w:eastAsia="Times New Roman"/>
      <w:sz w:val="22"/>
    </w:rPr>
  </w:style>
  <w:style w:type="paragraph" w:styleId="TOC8">
    <w:name w:val="toc 8"/>
    <w:basedOn w:val="Normal"/>
    <w:next w:val="Normal"/>
    <w:autoRedefine/>
    <w:uiPriority w:val="39"/>
    <w:unhideWhenUsed/>
    <w:rsid w:val="00271DC3"/>
    <w:pPr>
      <w:spacing w:after="100" w:line="259" w:lineRule="auto"/>
      <w:ind w:left="1540"/>
      <w:jc w:val="left"/>
    </w:pPr>
    <w:rPr>
      <w:rFonts w:eastAsia="Times New Roman"/>
      <w:sz w:val="22"/>
    </w:rPr>
  </w:style>
  <w:style w:type="paragraph" w:styleId="TOC9">
    <w:name w:val="toc 9"/>
    <w:basedOn w:val="Normal"/>
    <w:next w:val="Normal"/>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Heading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
    <w:next w:val="Normal"/>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
    <w:next w:val="Heading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
    <w:next w:val="Normal"/>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styleId="UnresolvedMention">
    <w:name w:val="Unresolved Mention"/>
    <w:basedOn w:val="DefaultParagraphFont"/>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333656059">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 w:id="1891644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F90F6-11FC-4455-B567-F83C4494FBB2}">
  <ds:schemaRefs>
    <ds:schemaRef ds:uri="23c84faa-227e-4c07-a8e6-7f3d544d1fe4"/>
    <ds:schemaRef ds:uri="http://schemas.microsoft.com/office/2006/documentManagement/types"/>
    <ds:schemaRef ds:uri="http://purl.org/dc/dcmitype/"/>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443efe69-7fa6-499f-a3b9-24b2009147fd"/>
    <ds:schemaRef ds:uri="http://www.w3.org/XML/1998/namespace"/>
    <ds:schemaRef ds:uri="http://purl.org/dc/terms/"/>
  </ds:schemaRefs>
</ds:datastoreItem>
</file>

<file path=customXml/itemProps2.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customXml/itemProps3.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4.xml><?xml version="1.0" encoding="utf-8"?>
<ds:datastoreItem xmlns:ds="http://schemas.openxmlformats.org/officeDocument/2006/customXml" ds:itemID="{AE86FBEE-D80E-4275-95EE-25B122A17144}"/>
</file>

<file path=docProps/app.xml><?xml version="1.0" encoding="utf-8"?>
<Properties xmlns="http://schemas.openxmlformats.org/officeDocument/2006/extended-properties" xmlns:vt="http://schemas.openxmlformats.org/officeDocument/2006/docPropsVTypes">
  <Template>Normal</Template>
  <TotalTime>0</TotalTime>
  <Pages>2</Pages>
  <Words>467</Words>
  <Characters>2949</Characters>
  <Application>Microsoft Office Word</Application>
  <DocSecurity>0</DocSecurity>
  <Lines>24</Lines>
  <Paragraphs>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Scientific Network</Company>
  <LinksUpToDate>false</LinksUpToDate>
  <CharactersWithSpaces>3410</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Siclari Isabella</cp:lastModifiedBy>
  <cp:revision>4</cp:revision>
  <cp:lastPrinted>2017-03-13T18:23:00Z</cp:lastPrinted>
  <dcterms:created xsi:type="dcterms:W3CDTF">2022-06-27T12:14:00Z</dcterms:created>
  <dcterms:modified xsi:type="dcterms:W3CDTF">2022-07-05T09:12:00Z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y fmtid="{D5CDD505-2E9C-101B-9397-08002B2CF9AE}" pid="4" name="MediaServiceImageTags">
    <vt:lpwstr/>
  </property>
</Properties>
</file>